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7F84" w14:textId="45BC535E" w:rsidR="003F490A" w:rsidRDefault="003F490A" w:rsidP="003F490A">
      <w:pPr>
        <w:spacing w:before="100" w:beforeAutospacing="1" w:after="100" w:afterAutospacing="1"/>
        <w:rPr>
          <w:rFonts w:ascii="ITCOfficinaSansCVBookOS" w:eastAsia="Times New Roman" w:hAnsi="ITCOfficinaSansCVBookOS" w:cs="Times New Roman"/>
          <w:sz w:val="30"/>
          <w:szCs w:val="30"/>
          <w:lang w:eastAsia="de-DE"/>
        </w:rPr>
      </w:pPr>
      <w:r w:rsidRPr="003F490A">
        <w:rPr>
          <w:rFonts w:ascii="ITCOfficinaSansCVExBld" w:eastAsia="Times New Roman" w:hAnsi="ITCOfficinaSansCVExBld" w:cs="Times New Roman"/>
          <w:b/>
          <w:bCs/>
          <w:i/>
          <w:iCs/>
          <w:sz w:val="30"/>
          <w:szCs w:val="30"/>
          <w:lang w:eastAsia="de-DE"/>
        </w:rPr>
        <w:t xml:space="preserve">Arbeitsblatt 2.4 </w:t>
      </w:r>
      <w:r w:rsidRPr="003F490A">
        <w:rPr>
          <w:rFonts w:ascii="ITCOfficinaSansCVBookOS" w:eastAsia="Times New Roman" w:hAnsi="ITCOfficinaSansCVBookOS" w:cs="Times New Roman"/>
          <w:sz w:val="30"/>
          <w:szCs w:val="30"/>
          <w:lang w:eastAsia="de-DE"/>
        </w:rPr>
        <w:t>| Funktions- und objektorientierte Organisationsstrukturen</w:t>
      </w:r>
      <w:r w:rsidR="00621025">
        <w:rPr>
          <w:rFonts w:ascii="ITCOfficinaSansCVBookOS" w:eastAsia="Times New Roman" w:hAnsi="ITCOfficinaSansCVBookOS" w:cs="Times New Roman"/>
          <w:sz w:val="30"/>
          <w:szCs w:val="30"/>
          <w:lang w:eastAsia="de-DE"/>
        </w:rPr>
        <w:t xml:space="preserve"> -Allgemein</w:t>
      </w:r>
    </w:p>
    <w:p w14:paraId="37386B9E" w14:textId="5D8B7D80" w:rsidR="00621025" w:rsidRPr="003F490A" w:rsidRDefault="00621025" w:rsidP="003F490A">
      <w:pPr>
        <w:spacing w:before="100" w:beforeAutospacing="1" w:after="100" w:afterAutospacing="1"/>
        <w:rPr>
          <w:rFonts w:eastAsia="Times New Roman" w:cstheme="minorHAnsi"/>
          <w:b/>
          <w:bCs/>
          <w:color w:val="00B050"/>
          <w:lang w:eastAsia="de-DE"/>
        </w:rPr>
      </w:pPr>
      <w:r w:rsidRPr="00B878C6">
        <w:rPr>
          <w:rFonts w:eastAsia="Times New Roman" w:cstheme="minorHAnsi"/>
          <w:b/>
          <w:bCs/>
          <w:color w:val="00B050"/>
          <w:lang w:eastAsia="de-DE"/>
        </w:rPr>
        <w:t xml:space="preserve">Grün – am Beispiel der Pillen GmbH 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3643"/>
      </w:tblGrid>
      <w:tr w:rsidR="003F490A" w:rsidRPr="003F490A" w14:paraId="14AB843B" w14:textId="77777777" w:rsidTr="003F490A">
        <w:tc>
          <w:tcPr>
            <w:tcW w:w="0" w:type="auto"/>
            <w:gridSpan w:val="2"/>
            <w:tcBorders>
              <w:top w:val="single" w:sz="4" w:space="0" w:color="3A4F5B"/>
              <w:left w:val="single" w:sz="4" w:space="0" w:color="3A4F5B"/>
              <w:bottom w:val="single" w:sz="4" w:space="0" w:color="3A4F5B"/>
              <w:right w:val="single" w:sz="4" w:space="0" w:color="3A4F5B"/>
            </w:tcBorders>
            <w:vAlign w:val="center"/>
            <w:hideMark/>
          </w:tcPr>
          <w:p w14:paraId="6FCFDF04" w14:textId="77777777" w:rsidR="003F490A" w:rsidRPr="003F490A" w:rsidRDefault="003F490A" w:rsidP="003F490A">
            <w:pPr>
              <w:spacing w:before="100" w:beforeAutospacing="1" w:after="100" w:afterAutospacing="1"/>
              <w:divId w:val="552425680"/>
              <w:rPr>
                <w:rFonts w:ascii="Times New Roman" w:eastAsia="Times New Roman" w:hAnsi="Times New Roman" w:cs="Times New Roman"/>
                <w:lang w:eastAsia="de-DE"/>
              </w:rPr>
            </w:pPr>
            <w:r w:rsidRPr="003F490A">
              <w:rPr>
                <w:rFonts w:ascii="ProformaCVSemiBold" w:eastAsia="Times New Roman" w:hAnsi="ProformaCVSemiBold" w:cs="Times New Roman"/>
                <w:sz w:val="20"/>
                <w:szCs w:val="20"/>
                <w:lang w:eastAsia="de-DE"/>
              </w:rPr>
              <w:t xml:space="preserve">Funktionsorientierte Organisationsstruktur </w:t>
            </w:r>
          </w:p>
        </w:tc>
      </w:tr>
      <w:tr w:rsidR="00E305DF" w:rsidRPr="003F490A" w14:paraId="097AD2AD" w14:textId="77777777" w:rsidTr="003F490A">
        <w:tc>
          <w:tcPr>
            <w:tcW w:w="0" w:type="auto"/>
            <w:tcBorders>
              <w:top w:val="single" w:sz="4" w:space="0" w:color="3A515B"/>
              <w:left w:val="single" w:sz="4" w:space="0" w:color="3A4F5B"/>
              <w:bottom w:val="single" w:sz="4" w:space="0" w:color="3A515B"/>
              <w:right w:val="single" w:sz="4" w:space="0" w:color="3A4F5B"/>
            </w:tcBorders>
            <w:shd w:val="clear" w:color="auto" w:fill="C6CED1"/>
            <w:vAlign w:val="center"/>
            <w:hideMark/>
          </w:tcPr>
          <w:p w14:paraId="12FC94F1" w14:textId="77777777" w:rsidR="003F490A" w:rsidRPr="003F490A" w:rsidRDefault="003F490A" w:rsidP="003F4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3F490A">
              <w:rPr>
                <w:rFonts w:ascii="ProformaCVSemiBold" w:eastAsia="Times New Roman" w:hAnsi="ProformaCVSemiBold" w:cs="Times New Roman"/>
                <w:sz w:val="20"/>
                <w:szCs w:val="20"/>
                <w:lang w:eastAsia="de-DE"/>
              </w:rPr>
              <w:t xml:space="preserve">Vorteile </w:t>
            </w:r>
          </w:p>
        </w:tc>
        <w:tc>
          <w:tcPr>
            <w:tcW w:w="0" w:type="auto"/>
            <w:tcBorders>
              <w:top w:val="single" w:sz="4" w:space="0" w:color="3A515B"/>
              <w:left w:val="single" w:sz="4" w:space="0" w:color="3A4F5B"/>
              <w:bottom w:val="single" w:sz="4" w:space="0" w:color="3A515B"/>
              <w:right w:val="single" w:sz="4" w:space="0" w:color="3A4F5B"/>
            </w:tcBorders>
            <w:shd w:val="clear" w:color="auto" w:fill="C6CED1"/>
            <w:vAlign w:val="center"/>
            <w:hideMark/>
          </w:tcPr>
          <w:p w14:paraId="7EEA9C4B" w14:textId="77777777" w:rsidR="003F490A" w:rsidRPr="003F490A" w:rsidRDefault="003F490A" w:rsidP="003F4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3F490A">
              <w:rPr>
                <w:rFonts w:ascii="ProformaCVSemiBold" w:eastAsia="Times New Roman" w:hAnsi="ProformaCVSemiBold" w:cs="Times New Roman"/>
                <w:sz w:val="20"/>
                <w:szCs w:val="20"/>
                <w:lang w:eastAsia="de-DE"/>
              </w:rPr>
              <w:t xml:space="preserve">Nachteile </w:t>
            </w:r>
          </w:p>
        </w:tc>
      </w:tr>
      <w:tr w:rsidR="00E305DF" w:rsidRPr="003F490A" w14:paraId="4EB5B1C0" w14:textId="77777777" w:rsidTr="003F490A">
        <w:tc>
          <w:tcPr>
            <w:tcW w:w="0" w:type="auto"/>
            <w:tcBorders>
              <w:top w:val="single" w:sz="4" w:space="0" w:color="3A515B"/>
              <w:left w:val="single" w:sz="4" w:space="0" w:color="3A515B"/>
              <w:bottom w:val="single" w:sz="4" w:space="0" w:color="3A515B"/>
              <w:right w:val="single" w:sz="4" w:space="0" w:color="3A515B"/>
            </w:tcBorders>
            <w:shd w:val="clear" w:color="auto" w:fill="FFFFFC"/>
            <w:vAlign w:val="center"/>
            <w:hideMark/>
          </w:tcPr>
          <w:p w14:paraId="47F0D9D7" w14:textId="6E928C9D" w:rsidR="003F490A" w:rsidRPr="003F490A" w:rsidRDefault="003F490A" w:rsidP="003F4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color w:val="70AD47" w:themeColor="accent6"/>
                <w:lang w:eastAsia="de-DE"/>
              </w:rPr>
            </w:pP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für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kleinere Unternehmen </w:t>
            </w:r>
            <w:proofErr w:type="gramStart"/>
            <w:r w:rsidRPr="003F490A">
              <w:rPr>
                <w:rFonts w:ascii="TektonPro" w:eastAsia="Times New Roman" w:hAnsi="TektonPro" w:cs="Times New Roman"/>
                <w:lang w:eastAsia="de-DE"/>
              </w:rPr>
              <w:t>geeignet</w:t>
            </w:r>
            <w:proofErr w:type="gram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</w:t>
            </w:r>
            <w:r w:rsidR="00E305DF">
              <w:rPr>
                <w:rFonts w:ascii="TektonPro" w:eastAsia="Times New Roman" w:hAnsi="TektonPro" w:cs="Times New Roman"/>
                <w:lang w:eastAsia="de-DE"/>
              </w:rPr>
              <w:br/>
            </w:r>
            <w:r w:rsidR="00E305DF" w:rsidRP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 xml:space="preserve">wenn </w:t>
            </w:r>
            <w:r w:rsid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 xml:space="preserve">das Unternehmen klein ist, lohnt sich eine weitere Aufteilung nicht. (Ist jedoch hier nicht unbedingt der Fall, da es drei Bereiche </w:t>
            </w:r>
            <w:proofErr w:type="spellStart"/>
            <w:r w:rsid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>gitbt</w:t>
            </w:r>
            <w:proofErr w:type="spellEnd"/>
            <w:r w:rsid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>.)</w:t>
            </w:r>
          </w:p>
          <w:p w14:paraId="7DE1E046" w14:textId="176AB1E0" w:rsidR="003F490A" w:rsidRPr="003F490A" w:rsidRDefault="003F490A" w:rsidP="003F4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übersichtlich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</w:t>
            </w:r>
            <w:r w:rsidR="00621025" w:rsidRPr="00621025">
              <w:rPr>
                <w:rFonts w:ascii="TektonPro" w:eastAsia="Times New Roman" w:hAnsi="TektonPro" w:cs="Times New Roman"/>
                <w:color w:val="00B050"/>
                <w:lang w:eastAsia="de-DE"/>
              </w:rPr>
              <w:t>– wenn es sich um Produktionsproblem handelt, hat man genau einen Ansprechpartner; Jedoch nur von Vorteil, wenn alle Produkte ein ähnliches Produktionsverfahren haben</w:t>
            </w:r>
            <w:r w:rsidR="00B878C6">
              <w:rPr>
                <w:rFonts w:ascii="TektonPro" w:eastAsia="Times New Roman" w:hAnsi="TektonPro" w:cs="Times New Roman"/>
                <w:color w:val="00B050"/>
                <w:lang w:eastAsia="de-DE"/>
              </w:rPr>
              <w:t xml:space="preserve">, </w:t>
            </w:r>
          </w:p>
          <w:p w14:paraId="4E9BA070" w14:textId="2CEC9D74" w:rsidR="00E305DF" w:rsidRPr="003F490A" w:rsidRDefault="003F490A" w:rsidP="00E305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t>eindeutige Spezialisierung der Mitarbeiter (</w:t>
            </w:r>
            <w:r w:rsidR="00B84251">
              <w:rPr>
                <w:rFonts w:ascii="TektonPro" w:eastAsia="Times New Roman" w:hAnsi="TektonPro" w:cs="Times New Roman"/>
                <w:lang w:eastAsia="de-DE"/>
              </w:rPr>
              <w:t xml:space="preserve">hoher Grad der </w:t>
            </w:r>
            <w:r w:rsidRPr="003F490A">
              <w:rPr>
                <w:rFonts w:ascii="TektonPro" w:eastAsia="Times New Roman" w:hAnsi="TektonPro" w:cs="Times New Roman"/>
                <w:lang w:eastAsia="de-DE"/>
              </w:rPr>
              <w:t>Arbeitsteilung)</w:t>
            </w:r>
            <w:r w:rsidR="00621025">
              <w:rPr>
                <w:rFonts w:ascii="TektonPro" w:eastAsia="Times New Roman" w:hAnsi="TektonPro" w:cs="Times New Roman"/>
                <w:lang w:eastAsia="de-DE"/>
              </w:rPr>
              <w:t xml:space="preserve">; </w:t>
            </w:r>
            <w:r w:rsidR="00B84251" w:rsidRPr="00B84251">
              <w:rPr>
                <w:rFonts w:ascii="TektonPro" w:eastAsia="Times New Roman" w:hAnsi="TektonPro" w:cs="Times New Roman"/>
                <w:color w:val="00B050"/>
                <w:lang w:eastAsia="de-DE"/>
              </w:rPr>
              <w:t>Durch die hohe Spezialisierung (-&gt; tiefes, aber nicht breites Fachwissen) kann eine große Kompetenz in bestimmten Bereichen aufgebaut werden.</w:t>
            </w:r>
            <w:r w:rsidR="00E305DF">
              <w:rPr>
                <w:rFonts w:ascii="TektonPro" w:eastAsia="Times New Roman" w:hAnsi="TektonPro" w:cs="Times New Roman"/>
                <w:lang w:eastAsia="de-DE"/>
              </w:rPr>
              <w:br/>
            </w:r>
            <w:r w:rsidR="00B84251" w:rsidRPr="00B84251">
              <w:rPr>
                <w:rFonts w:ascii="TektonPro" w:eastAsia="Times New Roman" w:hAnsi="TektonPro" w:cs="Times New Roman"/>
                <w:color w:val="00B050"/>
                <w:lang w:eastAsia="de-DE"/>
              </w:rPr>
              <w:t xml:space="preserve">Zum Beispiel könnte es einen MA geben, der nur für die Beschaffung von Maschinen / bzw. Roh- Hilfs- und Betriebsstoffe zuständig ist. </w:t>
            </w:r>
          </w:p>
          <w:p w14:paraId="25C6BAB1" w14:textId="143C5276" w:rsidR="003F490A" w:rsidRPr="003F490A" w:rsidRDefault="003F490A" w:rsidP="003F4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color w:val="C00000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klare Anweisungen und klare Aufgabenverteilung </w:t>
            </w:r>
            <w:r w:rsidR="00621025" w:rsidRPr="00621025">
              <w:rPr>
                <w:rFonts w:ascii="TektonPro" w:eastAsia="Times New Roman" w:hAnsi="TektonPro" w:cs="Times New Roman"/>
                <w:color w:val="C00000"/>
                <w:lang w:eastAsia="de-DE"/>
              </w:rPr>
              <w:t>-&gt; sollte eigentlich immer so sein.</w:t>
            </w:r>
          </w:p>
          <w:p w14:paraId="53F4CC26" w14:textId="11EC0B47" w:rsidR="003F490A" w:rsidRPr="003F490A" w:rsidRDefault="003F490A" w:rsidP="003F4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Kosteneinsparung durch Vermeidung von doppelten Aufgaben </w:t>
            </w:r>
            <w:r w:rsidR="00621025" w:rsidRP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>-&gt; wenn bestimmte Produkte für alle Bereiche (Schmerzmittel</w:t>
            </w:r>
            <w:r w:rsidR="00E305DF" w:rsidRP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 xml:space="preserve">, Salben, </w:t>
            </w:r>
            <w:proofErr w:type="gramStart"/>
            <w:r w:rsidR="00E305DF" w:rsidRP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>etc. )</w:t>
            </w:r>
            <w:proofErr w:type="gramEnd"/>
            <w:r w:rsidR="00E305DF" w:rsidRP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 xml:space="preserve"> </w:t>
            </w:r>
            <w:r w:rsidR="00621025" w:rsidRP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 xml:space="preserve"> benötigt werden, ist dafür nur einer </w:t>
            </w:r>
            <w:r w:rsidR="00E305DF" w:rsidRP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>zuständig.</w:t>
            </w:r>
          </w:p>
        </w:tc>
        <w:tc>
          <w:tcPr>
            <w:tcW w:w="0" w:type="auto"/>
            <w:tcBorders>
              <w:top w:val="single" w:sz="4" w:space="0" w:color="3A515B"/>
              <w:left w:val="single" w:sz="4" w:space="0" w:color="3A515B"/>
              <w:bottom w:val="single" w:sz="4" w:space="0" w:color="3A515B"/>
              <w:right w:val="single" w:sz="4" w:space="0" w:color="3A515B"/>
            </w:tcBorders>
            <w:shd w:val="clear" w:color="auto" w:fill="FFFFFC"/>
            <w:vAlign w:val="center"/>
            <w:hideMark/>
          </w:tcPr>
          <w:p w14:paraId="7148C251" w14:textId="77777777" w:rsidR="003F490A" w:rsidRPr="003F490A" w:rsidRDefault="003F490A" w:rsidP="003F49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Überlastung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des </w:t>
            </w: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Geschäftsführers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bzw. </w:t>
            </w: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übergeordneter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Ebenen </w:t>
            </w:r>
          </w:p>
          <w:p w14:paraId="0F538894" w14:textId="77777777" w:rsidR="003F490A" w:rsidRPr="003F490A" w:rsidRDefault="003F490A" w:rsidP="003F49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Gefahr der </w:t>
            </w: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Bürokratisierung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</w:t>
            </w:r>
          </w:p>
          <w:p w14:paraId="12AB3FA7" w14:textId="57CF4970" w:rsidR="003F490A" w:rsidRPr="003F490A" w:rsidRDefault="003F490A" w:rsidP="003F490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t>Gefahr, Kunden und Markt aus dem Blick zu verlieren</w:t>
            </w:r>
            <w:r w:rsidR="00E305DF">
              <w:rPr>
                <w:rFonts w:ascii="TektonPro" w:eastAsia="Times New Roman" w:hAnsi="TektonPro" w:cs="Times New Roman"/>
                <w:lang w:eastAsia="de-DE"/>
              </w:rPr>
              <w:br/>
            </w:r>
            <w:r w:rsidR="00E305DF">
              <w:rPr>
                <w:rFonts w:ascii="TektonPro" w:eastAsia="Times New Roman" w:hAnsi="TektonPro" w:cs="Times New Roman"/>
                <w:lang w:eastAsia="de-DE"/>
              </w:rPr>
              <w:br/>
            </w:r>
            <w:r w:rsidR="00E305DF">
              <w:rPr>
                <w:rFonts w:ascii="TektonPro" w:eastAsia="Times New Roman" w:hAnsi="TektonPro" w:cs="Times New Roman"/>
                <w:lang w:eastAsia="de-DE"/>
              </w:rPr>
              <w:br/>
            </w:r>
            <w:r w:rsidR="00E305DF" w:rsidRPr="00E305DF">
              <w:rPr>
                <w:rFonts w:ascii="TektonPro" w:eastAsia="Times New Roman" w:hAnsi="TektonPro" w:cs="Times New Roman"/>
                <w:color w:val="00B050"/>
                <w:lang w:eastAsia="de-DE"/>
              </w:rPr>
              <w:t>Der Geschäftsführer müsste sich mit allen drei Marktbereichen auskennen, diese sind hier sehr unterschiedlich.</w:t>
            </w:r>
          </w:p>
        </w:tc>
      </w:tr>
    </w:tbl>
    <w:p w14:paraId="2B70E28D" w14:textId="77777777" w:rsidR="003F490A" w:rsidRPr="003F490A" w:rsidRDefault="003F490A" w:rsidP="003F490A">
      <w:pPr>
        <w:rPr>
          <w:rFonts w:ascii="Times New Roman" w:eastAsia="Times New Roman" w:hAnsi="Times New Roman" w:cs="Times New Roman"/>
          <w:vanish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4086"/>
      </w:tblGrid>
      <w:tr w:rsidR="003F490A" w:rsidRPr="003F490A" w14:paraId="0EF75D16" w14:textId="77777777" w:rsidTr="003F490A">
        <w:tc>
          <w:tcPr>
            <w:tcW w:w="0" w:type="auto"/>
            <w:gridSpan w:val="2"/>
            <w:tcBorders>
              <w:top w:val="single" w:sz="4" w:space="0" w:color="3A4F5B"/>
              <w:left w:val="single" w:sz="4" w:space="0" w:color="3A4F5B"/>
              <w:bottom w:val="single" w:sz="4" w:space="0" w:color="3A4F5B"/>
              <w:right w:val="single" w:sz="4" w:space="0" w:color="3A4F5B"/>
            </w:tcBorders>
            <w:vAlign w:val="center"/>
            <w:hideMark/>
          </w:tcPr>
          <w:p w14:paraId="24AFFFDC" w14:textId="0C864C8A" w:rsidR="003F490A" w:rsidRPr="003F490A" w:rsidRDefault="003F490A" w:rsidP="003F490A">
            <w:pPr>
              <w:spacing w:before="100" w:beforeAutospacing="1" w:after="100" w:afterAutospacing="1"/>
              <w:divId w:val="1322077235"/>
              <w:rPr>
                <w:rFonts w:ascii="Times New Roman" w:eastAsia="Times New Roman" w:hAnsi="Times New Roman" w:cs="Times New Roman"/>
                <w:lang w:eastAsia="de-DE"/>
              </w:rPr>
            </w:pPr>
            <w:r w:rsidRPr="003F490A">
              <w:rPr>
                <w:rFonts w:ascii="ProformaCVSemiBold" w:eastAsia="Times New Roman" w:hAnsi="ProformaCVSemiBold" w:cs="Times New Roman"/>
                <w:sz w:val="20"/>
                <w:szCs w:val="20"/>
                <w:lang w:eastAsia="de-DE"/>
              </w:rPr>
              <w:t xml:space="preserve">Objektorientierte Organisationsstruktur </w:t>
            </w:r>
            <w:r w:rsidR="00E305DF">
              <w:rPr>
                <w:rFonts w:ascii="ProformaCVSemiBold" w:eastAsia="Times New Roman" w:hAnsi="ProformaCVSemiBold" w:cs="Times New Roman"/>
                <w:sz w:val="20"/>
                <w:szCs w:val="20"/>
                <w:lang w:eastAsia="de-DE"/>
              </w:rPr>
              <w:t>– Aufteilung in Sparten</w:t>
            </w:r>
          </w:p>
        </w:tc>
      </w:tr>
      <w:tr w:rsidR="003F490A" w:rsidRPr="003F490A" w14:paraId="42C0DB56" w14:textId="77777777" w:rsidTr="003F490A">
        <w:tc>
          <w:tcPr>
            <w:tcW w:w="0" w:type="auto"/>
            <w:tcBorders>
              <w:top w:val="single" w:sz="4" w:space="0" w:color="3A515B"/>
              <w:left w:val="single" w:sz="4" w:space="0" w:color="3A4F5B"/>
              <w:bottom w:val="single" w:sz="4" w:space="0" w:color="3A515B"/>
              <w:right w:val="single" w:sz="4" w:space="0" w:color="3A4F5B"/>
            </w:tcBorders>
            <w:shd w:val="clear" w:color="auto" w:fill="C6CED1"/>
            <w:vAlign w:val="center"/>
            <w:hideMark/>
          </w:tcPr>
          <w:p w14:paraId="42BAD761" w14:textId="77777777" w:rsidR="003F490A" w:rsidRPr="003F490A" w:rsidRDefault="003F490A" w:rsidP="003F4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3F490A">
              <w:rPr>
                <w:rFonts w:ascii="ProformaCVSemiBold" w:eastAsia="Times New Roman" w:hAnsi="ProformaCVSemiBold" w:cs="Times New Roman"/>
                <w:sz w:val="20"/>
                <w:szCs w:val="20"/>
                <w:lang w:eastAsia="de-DE"/>
              </w:rPr>
              <w:t xml:space="preserve">Vorteile </w:t>
            </w:r>
          </w:p>
        </w:tc>
        <w:tc>
          <w:tcPr>
            <w:tcW w:w="0" w:type="auto"/>
            <w:tcBorders>
              <w:top w:val="single" w:sz="4" w:space="0" w:color="3A515B"/>
              <w:left w:val="single" w:sz="4" w:space="0" w:color="3A4F5B"/>
              <w:bottom w:val="single" w:sz="4" w:space="0" w:color="3A515B"/>
              <w:right w:val="single" w:sz="4" w:space="0" w:color="3A4F5B"/>
            </w:tcBorders>
            <w:shd w:val="clear" w:color="auto" w:fill="C6CED1"/>
            <w:vAlign w:val="center"/>
            <w:hideMark/>
          </w:tcPr>
          <w:p w14:paraId="14E57B88" w14:textId="77777777" w:rsidR="003F490A" w:rsidRPr="003F490A" w:rsidRDefault="003F490A" w:rsidP="003F4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3F490A">
              <w:rPr>
                <w:rFonts w:ascii="ProformaCVSemiBold" w:eastAsia="Times New Roman" w:hAnsi="ProformaCVSemiBold" w:cs="Times New Roman"/>
                <w:sz w:val="20"/>
                <w:szCs w:val="20"/>
                <w:lang w:eastAsia="de-DE"/>
              </w:rPr>
              <w:t xml:space="preserve">Nachteile </w:t>
            </w:r>
          </w:p>
        </w:tc>
      </w:tr>
      <w:tr w:rsidR="003F490A" w:rsidRPr="003F490A" w14:paraId="770EEE0B" w14:textId="77777777" w:rsidTr="003F490A">
        <w:tc>
          <w:tcPr>
            <w:tcW w:w="0" w:type="auto"/>
            <w:tcBorders>
              <w:top w:val="single" w:sz="4" w:space="0" w:color="3A515B"/>
              <w:left w:val="single" w:sz="4" w:space="0" w:color="3A515B"/>
              <w:bottom w:val="single" w:sz="4" w:space="0" w:color="3A515B"/>
              <w:right w:val="single" w:sz="4" w:space="0" w:color="3A515B"/>
            </w:tcBorders>
            <w:shd w:val="clear" w:color="auto" w:fill="FFFFFC"/>
            <w:vAlign w:val="center"/>
            <w:hideMark/>
          </w:tcPr>
          <w:p w14:paraId="7BAB3E4B" w14:textId="77777777" w:rsidR="003F490A" w:rsidRPr="003F490A" w:rsidRDefault="003F490A" w:rsidP="003F490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stärkere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Markt</w:t>
            </w:r>
            <w:r w:rsidRPr="003F490A">
              <w:rPr>
                <w:rFonts w:ascii="TektonPro" w:eastAsia="Times New Roman" w:hAnsi="TektonPro" w:cs="Times New Roman"/>
                <w:lang w:eastAsia="de-DE"/>
              </w:rPr>
              <w:softHyphen/>
              <w:t xml:space="preserve"> und </w:t>
            </w: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Kundennähe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</w:t>
            </w:r>
          </w:p>
          <w:p w14:paraId="7381AB18" w14:textId="77777777" w:rsidR="003F490A" w:rsidRPr="003F490A" w:rsidRDefault="003F490A" w:rsidP="003F490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schnelle und flexible Reaktion auf neue Produktionsanforderungen </w:t>
            </w:r>
          </w:p>
          <w:p w14:paraId="508DAEA1" w14:textId="77777777" w:rsidR="003F490A" w:rsidRPr="003F490A" w:rsidRDefault="003F490A" w:rsidP="003F490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innerhalb der Sparte kommt es zu weniger Bereichsdenken (Einkauf, Produktion, Vertrieb) und somit zur Identifikation der Mitarbeiter mit ihren Aufgaben </w:t>
            </w:r>
          </w:p>
          <w:p w14:paraId="66713A84" w14:textId="77777777" w:rsidR="003F490A" w:rsidRPr="003F490A" w:rsidRDefault="003F490A" w:rsidP="003F490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lastRenderedPageBreak/>
              <w:t xml:space="preserve">einzelne </w:t>
            </w: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Geschäftsbereiche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</w:t>
            </w: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können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einfacher verkauft oder geschlossen werden </w:t>
            </w:r>
          </w:p>
        </w:tc>
        <w:tc>
          <w:tcPr>
            <w:tcW w:w="0" w:type="auto"/>
            <w:tcBorders>
              <w:top w:val="single" w:sz="4" w:space="0" w:color="3A515B"/>
              <w:left w:val="single" w:sz="4" w:space="0" w:color="3A515B"/>
              <w:bottom w:val="single" w:sz="4" w:space="0" w:color="3A515B"/>
              <w:right w:val="single" w:sz="4" w:space="0" w:color="3A515B"/>
            </w:tcBorders>
            <w:shd w:val="clear" w:color="auto" w:fill="FFFFFC"/>
            <w:vAlign w:val="center"/>
            <w:hideMark/>
          </w:tcPr>
          <w:p w14:paraId="20DEC69A" w14:textId="77777777" w:rsidR="003F490A" w:rsidRPr="003F490A" w:rsidRDefault="003F490A" w:rsidP="003F490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lastRenderedPageBreak/>
              <w:t>unübersichtlich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, wenn es viele Sparten gibt und z. B. der Bereich Personal in jeder Sparte </w:t>
            </w:r>
            <w:proofErr w:type="gramStart"/>
            <w:r w:rsidRPr="003F490A">
              <w:rPr>
                <w:rFonts w:ascii="TektonPro" w:eastAsia="Times New Roman" w:hAnsi="TektonPro" w:cs="Times New Roman"/>
                <w:lang w:eastAsia="de-DE"/>
              </w:rPr>
              <w:t>integriert</w:t>
            </w:r>
            <w:proofErr w:type="gram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ist </w:t>
            </w:r>
          </w:p>
          <w:p w14:paraId="1D75C3F6" w14:textId="77777777" w:rsidR="003F490A" w:rsidRPr="003F490A" w:rsidRDefault="003F490A" w:rsidP="003F490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hoher Koordinierungsbedarf </w:t>
            </w:r>
          </w:p>
          <w:p w14:paraId="49EB68D1" w14:textId="77777777" w:rsidR="003F490A" w:rsidRPr="003F490A" w:rsidRDefault="003F490A" w:rsidP="003F490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Gefahr, dass sich einzelne </w:t>
            </w: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Geschäftsfelder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</w:t>
            </w: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verselbstständigen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und von den Zielen des Gesamtunternehmens entfernen </w:t>
            </w:r>
          </w:p>
          <w:p w14:paraId="6720F975" w14:textId="77777777" w:rsidR="003F490A" w:rsidRPr="003F490A" w:rsidRDefault="003F490A" w:rsidP="003F490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ektonPro" w:eastAsia="Times New Roman" w:hAnsi="TektonPro" w:cs="Times New Roman"/>
                <w:lang w:eastAsia="de-DE"/>
              </w:rPr>
            </w:pP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lastRenderedPageBreak/>
              <w:t>höherer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Bedarf an </w:t>
            </w:r>
            <w:proofErr w:type="spellStart"/>
            <w:r w:rsidRPr="003F490A">
              <w:rPr>
                <w:rFonts w:ascii="TektonPro" w:eastAsia="Times New Roman" w:hAnsi="TektonPro" w:cs="Times New Roman"/>
                <w:lang w:eastAsia="de-DE"/>
              </w:rPr>
              <w:t>Führungskräften</w:t>
            </w:r>
            <w:proofErr w:type="spellEnd"/>
            <w:r w:rsidRPr="003F490A">
              <w:rPr>
                <w:rFonts w:ascii="TektonPro" w:eastAsia="Times New Roman" w:hAnsi="TektonPro" w:cs="Times New Roman"/>
                <w:lang w:eastAsia="de-DE"/>
              </w:rPr>
              <w:t xml:space="preserve"> durch gleichartige Bereiche im Unternehmen </w:t>
            </w:r>
          </w:p>
        </w:tc>
      </w:tr>
    </w:tbl>
    <w:p w14:paraId="12CF1575" w14:textId="77777777" w:rsidR="003F490A" w:rsidRPr="003F490A" w:rsidRDefault="003F490A" w:rsidP="003F49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F490A">
        <w:rPr>
          <w:rFonts w:ascii="OfficinaSansStd" w:eastAsia="Times New Roman" w:hAnsi="OfficinaSansStd" w:cs="Times New Roman"/>
          <w:sz w:val="20"/>
          <w:szCs w:val="20"/>
          <w:lang w:eastAsia="de-DE"/>
        </w:rPr>
        <w:lastRenderedPageBreak/>
        <w:t>Klären</w:t>
      </w:r>
      <w:proofErr w:type="spellEnd"/>
      <w:r w:rsidRPr="003F490A">
        <w:rPr>
          <w:rFonts w:ascii="OfficinaSansStd" w:eastAsia="Times New Roman" w:hAnsi="OfficinaSansStd" w:cs="Times New Roman"/>
          <w:sz w:val="20"/>
          <w:szCs w:val="20"/>
          <w:lang w:eastAsia="de-DE"/>
        </w:rPr>
        <w:t xml:space="preserve"> Sie, welche Abteilungen der Fly Bike Werke GmbH zurzeit nach welcher Organisationsstruktur aufgebaut sind: </w:t>
      </w:r>
    </w:p>
    <w:p w14:paraId="2D76EDEA" w14:textId="77777777" w:rsidR="003F490A" w:rsidRPr="003F490A" w:rsidRDefault="003F490A" w:rsidP="003F490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F490A">
        <w:rPr>
          <w:rFonts w:ascii="TektonPro" w:eastAsia="Times New Roman" w:hAnsi="TektonPro" w:cs="Times New Roman"/>
          <w:lang w:eastAsia="de-DE"/>
        </w:rPr>
        <w:t>generell funktionsorientiert</w:t>
      </w:r>
      <w:r w:rsidRPr="003F490A">
        <w:rPr>
          <w:rFonts w:ascii="TektonPro" w:eastAsia="Times New Roman" w:hAnsi="TektonPro" w:cs="Times New Roman"/>
          <w:lang w:eastAsia="de-DE"/>
        </w:rPr>
        <w:br/>
        <w:t xml:space="preserve">Ausnahme: Vertrieb, dort objektorientiert </w:t>
      </w:r>
    </w:p>
    <w:p w14:paraId="1FD5D1DC" w14:textId="77777777" w:rsidR="0098724A" w:rsidRDefault="0098724A"/>
    <w:sectPr w:rsidR="0098724A" w:rsidSect="002169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OfficinaSansCVBookOS">
    <w:altName w:val="Cambria"/>
    <w:panose1 w:val="020B0604020202020204"/>
    <w:charset w:val="00"/>
    <w:family w:val="roman"/>
    <w:notTrueType/>
    <w:pitch w:val="default"/>
  </w:font>
  <w:font w:name="ITCOfficinaSansCVExBld">
    <w:altName w:val="Cambria"/>
    <w:panose1 w:val="020B0604020202020204"/>
    <w:charset w:val="00"/>
    <w:family w:val="roman"/>
    <w:notTrueType/>
    <w:pitch w:val="default"/>
  </w:font>
  <w:font w:name="ProformaCVSemiBold">
    <w:altName w:val="Cambria"/>
    <w:panose1 w:val="020B0604020202020204"/>
    <w:charset w:val="00"/>
    <w:family w:val="roman"/>
    <w:notTrueType/>
    <w:pitch w:val="default"/>
  </w:font>
  <w:font w:name="TektonPro">
    <w:altName w:val="Cambria"/>
    <w:panose1 w:val="020B0604020202020204"/>
    <w:charset w:val="00"/>
    <w:family w:val="roman"/>
    <w:notTrueType/>
    <w:pitch w:val="default"/>
  </w:font>
  <w:font w:name="OfficinaSans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03C8"/>
    <w:multiLevelType w:val="multilevel"/>
    <w:tmpl w:val="68A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422DA"/>
    <w:multiLevelType w:val="multilevel"/>
    <w:tmpl w:val="9DB2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317CE6"/>
    <w:multiLevelType w:val="multilevel"/>
    <w:tmpl w:val="9B8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B90A07"/>
    <w:multiLevelType w:val="multilevel"/>
    <w:tmpl w:val="D24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0A"/>
    <w:rsid w:val="0021697A"/>
    <w:rsid w:val="003F490A"/>
    <w:rsid w:val="00431D6E"/>
    <w:rsid w:val="00621025"/>
    <w:rsid w:val="0098724A"/>
    <w:rsid w:val="00B84251"/>
    <w:rsid w:val="00B878C6"/>
    <w:rsid w:val="00E3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BD13C"/>
  <w15:chartTrackingRefBased/>
  <w15:docId w15:val="{48BFB6B3-460B-1E46-8218-29566AB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F4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Fröhlig, Kerstin</dc:creator>
  <cp:keywords/>
  <dc:description/>
  <cp:lastModifiedBy>Fröhlig, Kerstin</cp:lastModifiedBy>
  <cp:revision>2</cp:revision>
  <dcterms:created xsi:type="dcterms:W3CDTF">2021-12-06T09:03:00Z</dcterms:created>
  <dcterms:modified xsi:type="dcterms:W3CDTF">2021-12-06T09:03:00Z</dcterms:modified>
</cp:coreProperties>
</file>